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lightGBM 算法refit报告</w:t>
      </w:r>
    </w:p>
    <w:p>
      <w:r>
        <w:t>特征权重图</w:t>
      </w:r>
    </w:p>
    <w:p>
      <w:r>
        <w:drawing>
          <wp:inline xmlns:a="http://schemas.openxmlformats.org/drawingml/2006/main" xmlns:pic="http://schemas.openxmlformats.org/drawingml/2006/picture">
            <wp:extent cx="14630400" cy="73152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untitled_featureImportanc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630400" cy="73152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t>univar_chart</w:t>
      </w:r>
    </w:p>
    <w:p>
      <w:r>
        <w:drawing>
          <wp:inline xmlns:a="http://schemas.openxmlformats.org/drawingml/2006/main" xmlns:pic="http://schemas.openxmlformats.org/drawingml/2006/picture">
            <wp:extent cx="6400800" cy="320040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Univariate Chart of dhb_overview_ntdun_call_duration_below15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32004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drawing>
          <wp:inline xmlns:a="http://schemas.openxmlformats.org/drawingml/2006/main" xmlns:pic="http://schemas.openxmlformats.org/drawingml/2006/picture">
            <wp:extent cx="6400800" cy="320040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Univariate Chart of dhb_overview_ntdun_call_avg_duration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32004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drawing>
          <wp:inline xmlns:a="http://schemas.openxmlformats.org/drawingml/2006/main" xmlns:pic="http://schemas.openxmlformats.org/drawingml/2006/picture">
            <wp:extent cx="6400800" cy="3200400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Univariate Chart of dhb_overview_dun_call_total_duration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32004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t>PDP_chart</w:t>
      </w:r>
    </w:p>
    <w:p>
      <w:r>
        <w:drawing>
          <wp:inline xmlns:a="http://schemas.openxmlformats.org/drawingml/2006/main" xmlns:pic="http://schemas.openxmlformats.org/drawingml/2006/picture">
            <wp:extent cx="6400800" cy="3200400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dp Chart with 9 1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32004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t>lift_chart</w:t>
      </w:r>
    </w:p>
    <w:p>
      <w:r>
        <w:drawing>
          <wp:inline xmlns:a="http://schemas.openxmlformats.org/drawingml/2006/main" xmlns:pic="http://schemas.openxmlformats.org/drawingml/2006/picture">
            <wp:extent cx="6400800" cy="4431323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全渠道全量客群测试集上的 lift Chart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4431323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image" Target="media/image1.png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